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Ind w:w="3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3"/>
        <w:gridCol w:w="8452"/>
      </w:tblGrid>
      <w:tr w:rsidR="00594841" w:rsidRPr="002B7F94" w:rsidTr="00CC167C">
        <w:trPr>
          <w:trHeight w:val="11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41" w:rsidRPr="00745D94" w:rsidRDefault="00594841" w:rsidP="00CC167C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6ABBB455" wp14:editId="3E020608">
                  <wp:extent cx="890905" cy="1059180"/>
                  <wp:effectExtent l="0" t="0" r="444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_bydgoszc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Urząd Miasta Bydgoszczy</w:t>
            </w:r>
          </w:p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adres: ul. Jezuicka 1 , 85-102 Bydgoszcz</w:t>
            </w: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telefon: 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52 58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 w:rsidRPr="00745D94">
              <w:rPr>
                <w:rFonts w:asciiTheme="minorHAnsi" w:hAnsiTheme="minorHAnsi" w:cstheme="minorHAnsi" w:hint="eastAsia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5D94">
              <w:rPr>
                <w:rFonts w:asciiTheme="minorHAnsi" w:hAnsiTheme="minorHAnsi" w:cstheme="minorHAnsi" w:hint="eastAsia"/>
                <w:sz w:val="22"/>
                <w:szCs w:val="22"/>
              </w:rPr>
              <w:t>034</w:t>
            </w:r>
          </w:p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e-mail: </w:t>
            </w:r>
            <w:hyperlink r:id="rId6" w:history="1">
              <w:r w:rsidRPr="00254B5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sygnalista@um.bydgoszcz.pl</w:t>
              </w:r>
            </w:hyperlink>
          </w:p>
          <w:p w:rsidR="00594841" w:rsidRPr="00745D94" w:rsidRDefault="00254B5A" w:rsidP="00CC167C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BIP: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instrText xml:space="preserve"> HYPERLINK "https://bip.um.</w:instrText>
            </w:r>
            <w:bookmarkStart w:id="0" w:name="_GoBack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instrText xml:space="preserve">bydgoszcz.pl/" </w:instrTex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594841" w:rsidRPr="00254B5A">
              <w:rPr>
                <w:rStyle w:val="Hipercze"/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bookmarkEnd w:id="0"/>
            <w:r w:rsidR="00594841" w:rsidRPr="00254B5A">
              <w:rPr>
                <w:rStyle w:val="Hipercze"/>
                <w:rFonts w:asciiTheme="minorHAnsi" w:hAnsiTheme="minorHAnsi" w:cstheme="minorHAnsi"/>
                <w:sz w:val="22"/>
                <w:szCs w:val="22"/>
                <w:lang w:val="en-US"/>
              </w:rPr>
              <w:t>ttps://bip.um.bydgoszcz.pl/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594841" w:rsidRPr="002B7F94" w:rsidTr="00CC167C">
        <w:trPr>
          <w:trHeight w:val="231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41" w:rsidRPr="00745D94" w:rsidRDefault="00594841" w:rsidP="00CC167C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Informacyjna</w:t>
            </w:r>
          </w:p>
        </w:tc>
      </w:tr>
      <w:tr w:rsidR="00594841" w:rsidRPr="002B7F94" w:rsidTr="00CC167C">
        <w:trPr>
          <w:trHeight w:val="283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sprawy: Zgłaszanie naruszeń</w:t>
            </w:r>
            <w:r w:rsidR="00254B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 nieprawidłowości</w:t>
            </w:r>
          </w:p>
        </w:tc>
      </w:tr>
      <w:tr w:rsidR="00594841" w:rsidRPr="002B7F94" w:rsidTr="00CC167C">
        <w:trPr>
          <w:trHeight w:val="645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I. Podstawa Prawna</w:t>
            </w:r>
          </w:p>
          <w:p w:rsidR="00594841" w:rsidRPr="00745D94" w:rsidRDefault="00594841" w:rsidP="00594841">
            <w:pPr>
              <w:pStyle w:val="Standard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Zarządzenie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533</w:t>
            </w: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/2024 Prezydenta Miasta Bydgoszczy z dnia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 września </w:t>
            </w: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 r., w sprawie ustalenia wewnętrznej procedury dokonywania zgłoszeń naruszeń prawa i podejmowania działań następczych</w:t>
            </w:r>
          </w:p>
        </w:tc>
      </w:tr>
      <w:tr w:rsidR="00594841" w:rsidRPr="002B7F94" w:rsidTr="00CC167C">
        <w:trPr>
          <w:trHeight w:val="50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2B7F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II. Opis ogólny</w:t>
            </w:r>
          </w:p>
          <w:p w:rsidR="00594841" w:rsidRPr="002B7F94" w:rsidRDefault="00594841" w:rsidP="00594841">
            <w:pPr>
              <w:pStyle w:val="Standard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kogo dotyczy, kto może zgłaszać nieprawidłowości  (zakres podmiotowy):</w:t>
            </w:r>
          </w:p>
          <w:p w:rsidR="00594841" w:rsidRPr="002B7F94" w:rsidRDefault="00594841" w:rsidP="00CC167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Sygnalistą jest osoba fizyczna, która zgłasza lub ujawnia publicznie informacje o naruszeniu prawa uzyskane w kontekście związanym z pracą, w tym: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pracownik;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pracownik tymczasowy;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osoba świadcząca pracę na innej podstawie niż stosunek pracy, w tym na podstawie umowy cywilnoprawnej;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przedsiębiorca;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prokurent;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akcjonariusz lub wspólnik;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członek organu osoby prawnej lub jednostki organizacyjnej nieposiadającej osobowości prawnej;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osoba świadcząca pracę pod nadzorem i kierownictwem wykonawcy, podwykonawcy lub dostawcy;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stażysta; 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praktykant;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wolontariusz; 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funkcjonariusz w rozumieniu art. 1 ust. 1 ustawy z dnia 18 lutego 1994 </w:t>
            </w: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 o zaopatrzeniu emerytalnym funkcjonariuszy</w:t>
            </w: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</w:t>
            </w:r>
          </w:p>
          <w:p w:rsidR="00594841" w:rsidRPr="002B7F94" w:rsidRDefault="00594841" w:rsidP="00594841">
            <w:pPr>
              <w:pStyle w:val="Standard"/>
              <w:numPr>
                <w:ilvl w:val="1"/>
                <w:numId w:val="9"/>
              </w:numPr>
              <w:tabs>
                <w:tab w:val="clear" w:pos="1080"/>
                <w:tab w:val="num" w:pos="731"/>
              </w:tabs>
              <w:ind w:left="73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F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żołnierz w rozumieniu art. 2 pkt 39 ustawy z dnia 11 marca 2022 r. o obronie Ojczyzny.</w:t>
            </w:r>
          </w:p>
        </w:tc>
      </w:tr>
      <w:tr w:rsidR="00594841" w:rsidRPr="002B7F94" w:rsidTr="00CC167C">
        <w:trPr>
          <w:trHeight w:val="759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III. Wymagane dokumenty</w:t>
            </w:r>
          </w:p>
          <w:p w:rsidR="00594841" w:rsidRPr="00745D94" w:rsidRDefault="00594841" w:rsidP="00594841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zgłoszenie</w:t>
            </w: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postaci papierowej lub elektronicznej </w:t>
            </w:r>
          </w:p>
        </w:tc>
      </w:tr>
      <w:tr w:rsidR="00594841" w:rsidRPr="002B7F94" w:rsidTr="00CC167C">
        <w:trPr>
          <w:trHeight w:val="50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IV. Opłaty</w:t>
            </w:r>
          </w:p>
          <w:p w:rsidR="00594841" w:rsidRPr="00745D94" w:rsidRDefault="00594841" w:rsidP="00594841">
            <w:pPr>
              <w:pStyle w:val="Standard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brak</w:t>
            </w:r>
          </w:p>
        </w:tc>
      </w:tr>
      <w:tr w:rsidR="00594841" w:rsidRPr="002B7F94" w:rsidTr="00CC167C">
        <w:trPr>
          <w:trHeight w:val="50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V. Termin załatwienia sprawy</w:t>
            </w:r>
          </w:p>
          <w:p w:rsidR="00594841" w:rsidRPr="00745D94" w:rsidRDefault="00594841" w:rsidP="00594841">
            <w:pPr>
              <w:pStyle w:val="Standard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trzech miesięcy</w:t>
            </w:r>
          </w:p>
        </w:tc>
      </w:tr>
      <w:tr w:rsidR="00594841" w:rsidRPr="002B7F94" w:rsidTr="00CC167C">
        <w:trPr>
          <w:trHeight w:val="50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VI. Miejsce załatwienia sprawy</w:t>
            </w:r>
          </w:p>
          <w:p w:rsidR="00594841" w:rsidRPr="00745D94" w:rsidRDefault="00594841" w:rsidP="00594841">
            <w:pPr>
              <w:pStyle w:val="Standard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 Miasta Bydgoszczy, ul. Wojska Polskiego 65, 85-825 Bydgoszcz, pokój 255, piętro II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telefon </w:t>
            </w:r>
            <w:r w:rsidRPr="00745D94">
              <w:rPr>
                <w:rFonts w:asciiTheme="minorHAnsi" w:hAnsiTheme="minorHAnsi" w:cstheme="minorHAnsi" w:hint="eastAsia"/>
                <w:sz w:val="22"/>
              </w:rPr>
              <w:t>52 58</w:t>
            </w:r>
            <w:r>
              <w:rPr>
                <w:rFonts w:asciiTheme="minorHAnsi" w:hAnsiTheme="minorHAnsi" w:cstheme="minorHAnsi"/>
                <w:sz w:val="22"/>
              </w:rPr>
              <w:t xml:space="preserve"> 5</w:t>
            </w:r>
            <w:r w:rsidRPr="00745D94">
              <w:rPr>
                <w:rFonts w:asciiTheme="minorHAnsi" w:hAnsiTheme="minorHAnsi" w:cstheme="minorHAnsi" w:hint="eastAsia"/>
                <w:sz w:val="22"/>
              </w:rPr>
              <w:t>8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45D94">
              <w:rPr>
                <w:rFonts w:asciiTheme="minorHAnsi" w:hAnsiTheme="minorHAnsi" w:cstheme="minorHAnsi" w:hint="eastAsia"/>
                <w:sz w:val="22"/>
              </w:rPr>
              <w:t>034</w:t>
            </w:r>
          </w:p>
        </w:tc>
      </w:tr>
      <w:tr w:rsidR="00594841" w:rsidRPr="002B7F94" w:rsidTr="00CC167C">
        <w:trPr>
          <w:trHeight w:val="50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VII. Godziny pracy</w:t>
            </w:r>
          </w:p>
          <w:p w:rsidR="00594841" w:rsidRPr="00594841" w:rsidRDefault="00594841" w:rsidP="00594841">
            <w:pPr>
              <w:pStyle w:val="Standard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poniedziałku do piątku w godzinach 10:00 – 13:00</w:t>
            </w:r>
          </w:p>
        </w:tc>
      </w:tr>
      <w:tr w:rsidR="00594841" w:rsidRPr="002B7F94" w:rsidTr="00CC167C">
        <w:trPr>
          <w:trHeight w:val="50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VIII. Jednostka odpowiedzialna</w:t>
            </w:r>
          </w:p>
          <w:p w:rsidR="00594841" w:rsidRPr="00745D94" w:rsidRDefault="00594841" w:rsidP="00594841">
            <w:pPr>
              <w:pStyle w:val="Standard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7F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 do spraw obsługi zgłoszeń sygnalistów</w:t>
            </w:r>
          </w:p>
        </w:tc>
      </w:tr>
      <w:tr w:rsidR="00594841" w:rsidRPr="002B7F94" w:rsidTr="00576B9A">
        <w:trPr>
          <w:trHeight w:val="4452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41" w:rsidRPr="00745D94" w:rsidRDefault="00594841" w:rsidP="00CC167C">
            <w:pPr>
              <w:pStyle w:val="Standard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IX. Uwagi</w:t>
            </w:r>
          </w:p>
          <w:p w:rsidR="00594841" w:rsidRPr="00745D94" w:rsidRDefault="00594841" w:rsidP="00594841">
            <w:pPr>
              <w:pStyle w:val="Textbody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D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Zgłoszenia wewnętrzne mogą być dokonywane ustnie lub pisemnie.</w:t>
            </w:r>
          </w:p>
          <w:p w:rsidR="00594841" w:rsidRPr="00745D94" w:rsidRDefault="00594841" w:rsidP="00594841">
            <w:pPr>
              <w:pStyle w:val="Textbody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Zgłoszenie wewnętrzne ustne może być dokonane:</w:t>
            </w:r>
          </w:p>
          <w:p w:rsidR="00594841" w:rsidRPr="00745D94" w:rsidRDefault="00594841" w:rsidP="00576B9A">
            <w:pPr>
              <w:pStyle w:val="Textbody"/>
              <w:widowControl w:val="0"/>
              <w:spacing w:after="0" w:line="240" w:lineRule="auto"/>
              <w:ind w:left="589" w:hanging="22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 na wniosek sygnalisty podczas bezpośredniego spotkania zorganizowanego w terminie 14 dni od dnia otrzymania tego wniosku. W takim przypadku za zgodą sygnalisty zgłoszenie jest dokumentowane w formie:</w:t>
            </w:r>
          </w:p>
          <w:p w:rsidR="00594841" w:rsidRPr="00745D94" w:rsidRDefault="00594841" w:rsidP="00576B9A">
            <w:pPr>
              <w:pStyle w:val="Textbody"/>
              <w:widowControl w:val="0"/>
              <w:numPr>
                <w:ilvl w:val="0"/>
                <w:numId w:val="14"/>
              </w:numPr>
              <w:spacing w:after="0" w:line="240" w:lineRule="auto"/>
              <w:ind w:left="7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nagrania rozmowy umożliwiającego jej wyszukanie, lub</w:t>
            </w:r>
          </w:p>
          <w:p w:rsidR="00594841" w:rsidRPr="00745D94" w:rsidRDefault="00594841" w:rsidP="00576B9A">
            <w:pPr>
              <w:pStyle w:val="Textbody"/>
              <w:widowControl w:val="0"/>
              <w:numPr>
                <w:ilvl w:val="0"/>
                <w:numId w:val="14"/>
              </w:numPr>
              <w:spacing w:after="0" w:line="240" w:lineRule="auto"/>
              <w:ind w:left="7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protokołu spotkania, odtwarzającego dokładny przebieg tego spotkania, przygotowanego przez Stanowisko ds. obsługi zgłoszeń sygnalistów. Sygnalista może dokonać sprawdzenia, poprawienia i zatwierdzenia protokołu spotkania poprzez jego podpisanie.</w:t>
            </w:r>
          </w:p>
          <w:p w:rsidR="00594841" w:rsidRPr="00745D94" w:rsidRDefault="00594841" w:rsidP="00594841">
            <w:pPr>
              <w:pStyle w:val="Textbody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Zgłoszenie wewnętrzne pisemne może być dokonane w postaci papierowej lub elektronicznej.</w:t>
            </w:r>
          </w:p>
          <w:p w:rsidR="00594841" w:rsidRPr="00745D94" w:rsidRDefault="00594841" w:rsidP="00594841">
            <w:pPr>
              <w:pStyle w:val="Textbody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Zgłoszenia wewnętrzne pisemne, </w:t>
            </w:r>
            <w:r w:rsidRPr="00745D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mogą być zgłaszane poprzez dedykowane kanały zgłoszeń funkcjonujące w Urzędzie Miasta Bydgoszczy:</w:t>
            </w:r>
          </w:p>
          <w:p w:rsidR="00594841" w:rsidRPr="00745D94" w:rsidRDefault="00594841" w:rsidP="00CC167C">
            <w:pPr>
              <w:pStyle w:val="Textbody"/>
              <w:widowControl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D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1) za pomocą poczty elektronicznej na adres: </w:t>
            </w:r>
            <w:hyperlink r:id="rId7" w:history="1">
              <w:r w:rsidRPr="00254B5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sygnalista@um.bydgoszcz.pl</w:t>
              </w:r>
            </w:hyperlink>
            <w:r w:rsidRPr="00594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4841" w:rsidRPr="00745D94" w:rsidRDefault="00594841" w:rsidP="00CC167C">
            <w:pPr>
              <w:pStyle w:val="Textbody"/>
              <w:widowControl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D94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>2) w formie listownej na adres: Urząd Miasta Bydgoszczy, ul. Jezuicka 1, 85-102 Bydgoszcz, z dopiskiem na kopercie „zgłoszenie sygnalisty”, „ stanowisko do spraw obsługi zgłoszeń</w:t>
            </w:r>
            <w:r w:rsidR="00254B5A">
              <w:rPr>
                <w:rStyle w:val="Domylnaczcionkaakapitu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sygnalistów – do rąk własnych”.</w:t>
            </w:r>
          </w:p>
        </w:tc>
      </w:tr>
    </w:tbl>
    <w:p w:rsidR="00B76997" w:rsidRDefault="00B76997"/>
    <w:sectPr w:rsidR="00B7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B0C"/>
    <w:multiLevelType w:val="multilevel"/>
    <w:tmpl w:val="8DF0C7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7F25B6"/>
    <w:multiLevelType w:val="multilevel"/>
    <w:tmpl w:val="C726A95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4071F"/>
    <w:multiLevelType w:val="hybridMultilevel"/>
    <w:tmpl w:val="DEE69E90"/>
    <w:lvl w:ilvl="0" w:tplc="04150017">
      <w:start w:val="1"/>
      <w:numFmt w:val="lowerLetter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6A5693"/>
    <w:multiLevelType w:val="hybridMultilevel"/>
    <w:tmpl w:val="3CA8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2D8C"/>
    <w:multiLevelType w:val="multilevel"/>
    <w:tmpl w:val="3C46CB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603308"/>
    <w:multiLevelType w:val="multilevel"/>
    <w:tmpl w:val="F2EAB1A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1D63CC"/>
    <w:multiLevelType w:val="multilevel"/>
    <w:tmpl w:val="CA7A57F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10E1E"/>
    <w:multiLevelType w:val="multilevel"/>
    <w:tmpl w:val="6BD2B35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953811"/>
    <w:multiLevelType w:val="hybridMultilevel"/>
    <w:tmpl w:val="A9B06B40"/>
    <w:lvl w:ilvl="0" w:tplc="365A700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F594FA8"/>
    <w:multiLevelType w:val="multilevel"/>
    <w:tmpl w:val="65E2F6F4"/>
    <w:lvl w:ilvl="0">
      <w:start w:val="1"/>
      <w:numFmt w:val="decimal"/>
      <w:pStyle w:val="UMTrescpunktu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4FD2882"/>
    <w:multiLevelType w:val="multilevel"/>
    <w:tmpl w:val="54D4CFF0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1A6EE5"/>
    <w:multiLevelType w:val="multilevel"/>
    <w:tmpl w:val="1D62B656"/>
    <w:lvl w:ilvl="0"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B3449A"/>
    <w:multiLevelType w:val="multilevel"/>
    <w:tmpl w:val="FEAE16C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6B255D"/>
    <w:multiLevelType w:val="multilevel"/>
    <w:tmpl w:val="5434B7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745D30"/>
    <w:multiLevelType w:val="multilevel"/>
    <w:tmpl w:val="A17EDB7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41"/>
    <w:rsid w:val="00254B5A"/>
    <w:rsid w:val="004B05D1"/>
    <w:rsid w:val="00576B9A"/>
    <w:rsid w:val="00591791"/>
    <w:rsid w:val="00594841"/>
    <w:rsid w:val="00907B0F"/>
    <w:rsid w:val="00B26635"/>
    <w:rsid w:val="00B7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159E-F257-47CD-8EDB-5CAABE81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84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594841"/>
  </w:style>
  <w:style w:type="character" w:styleId="Hipercze">
    <w:name w:val="Hyperlink"/>
    <w:basedOn w:val="Domylnaczcionkaakapitu"/>
    <w:uiPriority w:val="99"/>
    <w:unhideWhenUsed/>
    <w:rsid w:val="00594841"/>
    <w:rPr>
      <w:color w:val="0563C1" w:themeColor="hyperlink"/>
      <w:u w:val="single"/>
    </w:rPr>
  </w:style>
  <w:style w:type="paragraph" w:customStyle="1" w:styleId="Standard">
    <w:name w:val="Standard"/>
    <w:qFormat/>
    <w:rsid w:val="0059484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94841"/>
    <w:pPr>
      <w:spacing w:after="140" w:line="276" w:lineRule="auto"/>
    </w:pPr>
  </w:style>
  <w:style w:type="paragraph" w:customStyle="1" w:styleId="UMTytu2">
    <w:name w:val="UM_Tytuł_2"/>
    <w:basedOn w:val="Normalny"/>
    <w:qFormat/>
    <w:rsid w:val="00B76997"/>
    <w:pPr>
      <w:widowControl/>
      <w:spacing w:after="276"/>
      <w:jc w:val="both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paragraph" w:customStyle="1" w:styleId="UMTrescpunktu">
    <w:name w:val="UM_Tresc punktu"/>
    <w:basedOn w:val="Normalny"/>
    <w:qFormat/>
    <w:rsid w:val="00B76997"/>
    <w:pPr>
      <w:widowControl/>
      <w:numPr>
        <w:numId w:val="11"/>
      </w:numPr>
      <w:suppressLineNumbers/>
      <w:spacing w:before="20" w:after="60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B769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odogrodzkia\Desktop\Tymczasowy%20BIP\sygnalista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odogrodzkia\Desktop\Tymczasowy%20BIP\sygnalista@um.bydgoszc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/>
  <dc:creator>Bartosz Błaszczyk</dc:creator>
  <cp:keywords/>
  <dc:description/>
  <cp:lastModifiedBy>Adam Podogrodzki</cp:lastModifiedBy>
  <cp:revision>2</cp:revision>
  <dcterms:created xsi:type="dcterms:W3CDTF">2024-09-24T12:03:00Z</dcterms:created>
  <dcterms:modified xsi:type="dcterms:W3CDTF">2024-09-24T12:03:00Z</dcterms:modified>
</cp:coreProperties>
</file>